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Frances Eby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651-324-6282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" w:cs="Times" w:eastAsia="Times" w:hAnsi="Times"/>
            <w:color w:val="0563c1"/>
            <w:sz w:val="24"/>
            <w:szCs w:val="24"/>
            <w:u w:val="single"/>
            <w:rtl w:val="0"/>
          </w:rPr>
          <w:t xml:space="preserve">francesgraceeby@gmail.com</w:t>
        </w:r>
      </w:hyperlink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" w:cs="Times" w:eastAsia="Times" w:hAnsi="Times"/>
            <w:color w:val="0563c1"/>
            <w:sz w:val="24"/>
            <w:szCs w:val="24"/>
            <w:u w:val="single"/>
            <w:rtl w:val="0"/>
          </w:rPr>
          <w:t xml:space="preserve">https://www.linkedin.com/in/frances-eby/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Master of Science in Forensic Psychology </w:t>
        <w:tab/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  <w:tab/>
        <w:tab/>
        <w:t xml:space="preserve">May 2021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University of North Dakota (UND), Grand Forks, ND</w:t>
        <w:tab/>
        <w:tab/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GPA: 3.7/4.0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Thesis: Sexual Desires as a Distal Predictor and Motive of Sexual Violence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Bachelor of Arts in History, Law, and Society, and Psychology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  <w:t xml:space="preserve">May 2019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American University of Paris, Paris, France</w:t>
        <w:tab/>
        <w:tab/>
        <w:tab/>
        <w:tab/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GPA: 3.7/4.0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Thesis: The Weaponization of Social Memory and Narrative in the Yugoslavian Conflict and International Intervention From 1389-2017 </w:t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PROFESSIONAL HISTORY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Investigator, Investigations Center of Expertise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  <w:tab/>
        <w:tab/>
        <w:t xml:space="preserve">May 2022- present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Commonwealth of Massachusetts, Boston, MA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Independently conducts administrative investigations into a variety of complaints including sexual assault, stalking, domestic violence, retaliation, workplace violence, sexual harassment, and discrimination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Utilizes psychological insight to assess the credibility of witnesses, complainants, and respondents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Demonstrates strong written and communication skills in independently preparing investigative reports, obtaining statements from relevant parties, and findings for legal review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Successfully conducts between 20 and 30 investigations while using strong organizational skills to meet multiple deadlines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Examines court, police, public, and governmental records needed for the investigation.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Research Analysis Specialist, Minnesota Sex Offender Program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June 2021- April 2022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Minnesota Department of Human Services, Moose Lake, MN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2d2d2d"/>
          <w:sz w:val="24"/>
          <w:szCs w:val="24"/>
          <w:rtl w:val="0"/>
        </w:rPr>
        <w:t xml:space="preserve">Supervised and supported MSOP sex offenders through verbal and written psychological assessments 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spacing w:line="240" w:lineRule="auto"/>
        <w:ind w:left="720" w:hanging="360"/>
        <w:rPr>
          <w:rFonts w:ascii="Times" w:cs="Times" w:eastAsia="Times" w:hAnsi="Times"/>
          <w:color w:val="2d2d2d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color w:val="2d2d2d"/>
          <w:sz w:val="24"/>
          <w:szCs w:val="24"/>
          <w:rtl w:val="0"/>
        </w:rPr>
        <w:t xml:space="preserve">Co-led and taught modules to committed sex offenders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2d2d2d"/>
          <w:sz w:val="24"/>
          <w:szCs w:val="24"/>
          <w:rtl w:val="0"/>
        </w:rPr>
        <w:t xml:space="preserve">Prepared and completed comprehensive reports on psychological findings using strong written and verbal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Processed and synthesized facts and complex issues by independently completing detailed background summaries of offenders  through examination of materials or other information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Served as a conduit and point of contact for MSOP clinicians to the assessment department to best serve MSOP sex offenders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Completed, scored, and reported psychological assessments such as the Eye Detect, MMPI, MCMI, MSI II, WAIS, and WASI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Graduate Researcher, Anderson Sexual Violence Prevention Lab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Sept 2019- Current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UND, Grand Forks, ND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2d2d2d"/>
          <w:sz w:val="24"/>
          <w:szCs w:val="24"/>
          <w:rtl w:val="0"/>
        </w:rPr>
        <w:t xml:space="preserve">Conducted confidential interviews of individuals surrounding issues of sexual harassment, discrimination, sexual violence, domestic violence, and more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Independently conducted research and statistical analysis to determine underlying patterns in data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Drafted research findings in a clear, concise, and logical report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Utilized critical deadline management skills to conduct trend analysis on qualitative and quantitative data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Clearly and concisely summarized findings and conclusions using strong writing skills into comprehensive reports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Graduate Teaching Assistant, Psychology Department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  <w:tab/>
        <w:tab/>
        <w:t xml:space="preserve">Aug 2019 - May 2021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UND, Grand Forks, ND, </w:t>
        <w:tab/>
        <w:tab/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Assisted professors in undergraduate courses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Evaluated student performance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Proctored term final exams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Policy Intern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Jan 2019- May 2019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Children of Prisoners Europe, Montrouge, France,</w:t>
        <w:tab/>
        <w:tab/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Involved in various tasks relevant to the work of the network and the rights of children of prisoners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Communicated with members across 28 countries in Europe and across the world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Quickly learned a variety of European policies relating to incarceration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Displayed organization through updating the organization’s presence on the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President, AUP for Consent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  <w:tab/>
        <w:tab/>
        <w:tab/>
        <w:tab/>
        <w:tab/>
        <w:t xml:space="preserve">April 2018- May 2019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American University of Paris, Paris, France</w:t>
        <w:tab/>
        <w:tab/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Co-founded AUP for Consent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Negotiated to provide basic education, awareness, and support to English-speaking students in France on sexual assault and rape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Led the first consent education training program at orientation in university history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Utilized strong time management skills to organize events and meetings on sexual consent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Provided resources to faculty and students on how to report sexual assault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Research Intern</w:t>
        <w:tab/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  <w:tab/>
        <w:tab/>
        <w:tab/>
        <w:tab/>
        <w:tab/>
        <w:t xml:space="preserve">Sept-Oct 2018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Yahad in Unum, Saint œun,France,</w:t>
        <w:tab/>
        <w:tab/>
        <w:tab/>
        <w:tab/>
        <w:tab/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Facilitated the planning and preparation of international field research trips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Translated French educational resources and academic papers into English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Researched and updated the online database of the Holocaust in Eastern Europe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Researched the rise of extremism in the United States in order to implement training and education policies for educators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Office of Special Investigation Intern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  <w:tab/>
        <w:tab/>
        <w:tab/>
        <w:t xml:space="preserve">May -July 2018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Minnesota Department of Corrections, Saint Paul, MN</w:t>
        <w:tab/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Conducted investigations and surveillance with Special Investigators from offender correspondence from within and outside the correctional facilities including phone and mail content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Collaborated with local, state, and federal law enforcement agencies as directed so investigative information is shared appropriately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Actively participated in motivational interviewing training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 Worked with database systems including collecting, analyzing, and processing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 Efficiently navigated through social networking sites sufficient to obtain investigative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bottom w:color="000000" w:space="1" w:sz="4" w:val="single"/>
        </w:pBd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bottom w:color="000000" w:space="1" w:sz="4" w:val="single"/>
        </w:pBd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PUBLICATIONS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bottom w:color="000000" w:space="1" w:sz="4" w:val="single"/>
        </w:pBdr>
        <w:spacing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Gesser, N., Eby, F. G., &amp; Anderson, R. E. (2023). Motives for sex and sexual perpetration in college men: an exploratory study.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Sexual Abuse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10790632231190080.</w:t>
      </w:r>
    </w:p>
    <w:p w:rsidR="00000000" w:rsidDel="00000000" w:rsidP="00000000" w:rsidRDefault="00000000" w:rsidRPr="00000000" w14:paraId="00000048">
      <w:pPr>
        <w:pBdr>
          <w:bottom w:color="000000" w:space="1" w:sz="4" w:val="single"/>
        </w:pBdr>
        <w:spacing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Anderson, R. E., Goodman, E. L., Eby, F. G., Tom, K., Schwartz, A., &amp;amp; Hanna, A. (2023). Estimating the number of incidents of sexual violence: Evaluating a one-item approach for existing questionnaires. (Manuscript submitted for publication) </w:t>
      </w:r>
    </w:p>
    <w:p w:rsidR="00000000" w:rsidDel="00000000" w:rsidP="00000000" w:rsidRDefault="00000000" w:rsidRPr="00000000" w14:paraId="00000049">
      <w:pPr>
        <w:pBdr>
          <w:bottom w:color="000000" w:space="1" w:sz="4" w:val="single"/>
        </w:pBdr>
        <w:spacing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Anderson, R.E, Goodman, E.L., Eby, F. G., Mickelson K., Peterson, Z.  (2023). Exploring Measurement Strategies for Identifying Multiple Perpetrator Sexual Violence: Higher Prevalence Rates Than Past Research.  (Manuscript submitted for publication)</w:t>
      </w:r>
    </w:p>
    <w:p w:rsidR="00000000" w:rsidDel="00000000" w:rsidP="00000000" w:rsidRDefault="00000000" w:rsidRPr="00000000" w14:paraId="0000004A">
      <w:pPr>
        <w:pBdr>
          <w:bottom w:color="000000" w:space="1" w:sz="4" w:val="single"/>
        </w:pBdr>
        <w:spacing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bottom w:color="000000" w:space="1" w:sz="4" w:val="single"/>
        </w:pBdr>
        <w:spacing w:line="240" w:lineRule="auto"/>
        <w:ind w:left="720" w:hanging="72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PRESENTATIONS</w:t>
      </w:r>
    </w:p>
    <w:p w:rsidR="00000000" w:rsidDel="00000000" w:rsidP="00000000" w:rsidRDefault="00000000" w:rsidRPr="00000000" w14:paraId="0000004C">
      <w:pPr>
        <w:spacing w:line="240" w:lineRule="auto"/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Sexual Violence as a Distal Motive and Predictor of Sexual Violence</w:t>
        <w:tab/>
        <w:t xml:space="preserve">April 2021</w:t>
      </w:r>
    </w:p>
    <w:p w:rsidR="00000000" w:rsidDel="00000000" w:rsidP="00000000" w:rsidRDefault="00000000" w:rsidRPr="00000000" w14:paraId="0000004D">
      <w:pPr>
        <w:spacing w:line="240" w:lineRule="auto"/>
        <w:ind w:left="0" w:firstLine="0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Minnesota State Mankato, Mankato, MN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Sexual Violence as a Distal Motive and Predictor of Sexual Violence</w:t>
        <w:tab/>
        <w:t xml:space="preserve">April 2021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ResilienceCon, Sewanee, TN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bottom w:color="000000" w:space="1" w:sz="4" w:val="single"/>
        </w:pBd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TRAINING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Getting Beyond Politics to Get Important Work Done</w:t>
        <w:tab/>
        <w:tab/>
        <w:tab/>
        <w:t xml:space="preserve">      EHS, 2023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The Interplay Between Workplace Investigation and Criminal Investigation      AWI, 2023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Investigations Training</w:t>
        <w:tab/>
        <w:tab/>
        <w:tab/>
        <w:tab/>
        <w:tab/>
        <w:tab/>
        <w:tab/>
        <w:t xml:space="preserve">  MCAD, 2022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Excel Training</w:t>
        <w:tab/>
        <w:tab/>
        <w:tab/>
        <w:tab/>
        <w:tab/>
        <w:tab/>
        <w:t xml:space="preserve"> </w:t>
        <w:tab/>
        <w:t xml:space="preserve">        Linkedin Learning, 2022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rancesgraceeby@gmail.com" TargetMode="External"/><Relationship Id="rId7" Type="http://schemas.openxmlformats.org/officeDocument/2006/relationships/hyperlink" Target="https://www.linkedin.com/in/frances-eb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